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</w:p>
    <w:p>
      <w:pPr>
        <w:pStyle w:val="Normal"/>
        <w:spacing w:lineRule="auto" w:line="240"/>
        <w:ind w:firstLine="5103"/>
        <w:jc w:val="lef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к Договору подряда </w:t>
      </w:r>
    </w:p>
    <w:p>
      <w:pPr>
        <w:pStyle w:val="Normal"/>
        <w:spacing w:lineRule="auto" w:line="240"/>
        <w:ind w:firstLine="5103"/>
        <w:rPr>
          <w:sz w:val="24"/>
          <w:szCs w:val="24"/>
        </w:rPr>
      </w:pPr>
      <w:r>
        <w:rPr>
          <w:rFonts w:eastAsia="Calibri"/>
          <w:sz w:val="22"/>
          <w:szCs w:val="22"/>
          <w:lang w:eastAsia="en-US"/>
        </w:rPr>
        <w:t>от «____» __________ 20 _ г. № ____</w:t>
      </w:r>
    </w:p>
    <w:p>
      <w:pPr>
        <w:pStyle w:val="Normal"/>
        <w:spacing w:lineRule="auto" w:line="24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bookmarkStart w:id="0" w:name="_Toc501966378"/>
      <w:bookmarkStart w:id="1" w:name="_Toc500935255"/>
      <w:r>
        <w:rPr>
          <w:rFonts w:ascii="Liberation Serif" w:hAnsi="Liberation Serif"/>
          <w:b/>
          <w:sz w:val="24"/>
          <w:szCs w:val="24"/>
          <w:shd w:fill="FFFFFF" w:val="clear"/>
        </w:rPr>
        <w:t>Критерии отбора Банков-Гарантов</w:t>
      </w:r>
      <w:r>
        <w:rPr>
          <w:rStyle w:val="FootnoteReference"/>
          <w:rFonts w:ascii="Liberation Serif" w:hAnsi="Liberation Serif"/>
          <w:b/>
          <w:sz w:val="24"/>
          <w:szCs w:val="24"/>
          <w:shd w:fill="FFFFFF" w:val="clear"/>
          <w:vertAlign w:val="superscript"/>
        </w:rPr>
        <w:footnoteReference w:id="2"/>
      </w:r>
      <w:bookmarkEnd w:id="0"/>
      <w:bookmarkEnd w:id="1"/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  <w:shd w:fill="FFFFFF" w:val="clear"/>
        </w:rPr>
      </w:pPr>
      <w:r>
        <w:rPr>
          <w:rFonts w:ascii="Liberation Serif" w:hAnsi="Liberation Serif"/>
          <w:sz w:val="24"/>
          <w:szCs w:val="24"/>
          <w:shd w:fill="FFFFFF" w:val="clear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Банк-Гарант (кредитная организация), выдающий банковскую гарантию, должен входить в перечень Банков-Гарантов Группы РусГидро</w:t>
      </w:r>
      <w:r>
        <w:rPr>
          <w:rStyle w:val="FootnoteReference"/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footnoteReference w:id="3"/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, а также соответствовать следующим критериям: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1. Иметь действующую лицензию Центрального банка Российской Федерации (далее – ЦБ РФ)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>на осуществление банковских операций,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trike w:val="false"/>
          <w:dstrike w:val="false"/>
          <w:sz w:val="24"/>
          <w:szCs w:val="24"/>
          <w:shd w:fill="FFFF00" w:val="clear"/>
          <w:lang w:eastAsia="en-US"/>
        </w:rPr>
        <w:t>п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ри этом лицензия не должна быть приостановлена полностью или частично.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2. Присутствовать в Перечне кредитных организаций, соответствующих требованиям, установленным ч. 1 ст. 2 Федерального закона от 21.07.2014 № 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 ФЗ).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3. Иметь собственные средства (капитал) в размере не менее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>25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млрд. рублей на 01 января текущего календарного года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trike w:val="false"/>
          <w:dstrike w:val="false"/>
          <w:sz w:val="24"/>
          <w:szCs w:val="24"/>
          <w:shd w:fill="FFFF00" w:val="clear"/>
          <w:lang w:eastAsia="en-US"/>
        </w:rPr>
        <w:t>по данным отчетности (в соответствии с кодом формы по ОКУД 0409123 «Расчет собственных средств (капитала) («Базель III») либо кодом формы по ОКУД 0409808 «Отчет об уровне достаточности капитала для покрытия рисков (публикуемая форма)»), опубликованной в информационно-телекоммуникационной сети «Интернет» (www.cbr.ru) на официальных сайтах ЦБ РФ и / или кредитной организации либо представленной кредитной организации Обществу.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4. 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классификации рейтингового агентства «Moody's Investors Service»</w:t>
      </w:r>
      <w:r>
        <w:rPr>
          <w:rStyle w:val="Style6"/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</w:t>
      </w:r>
      <w:r>
        <w:rPr>
          <w:rStyle w:val="FootnoteReference"/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footnoteReference w:id="4"/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5. Участвовать в системе обязательного страхования вкладов в банках Российской Федерации в соответствии с Федеральным законом от 23.12.2003 № 177-ФЗ «О страховании вкладов в банках Российской Федерации»</w:t>
      </w:r>
      <w:r>
        <w:rPr>
          <w:rStyle w:val="Style6"/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</w:t>
      </w:r>
      <w:r>
        <w:rPr>
          <w:rStyle w:val="FootnoteReference"/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footnoteReference w:id="5"/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6. Не находиться в процессе финансового оздоровления (санации), а также в Реестре банков, находящихся в процессе финансового оздоровления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 xml:space="preserve"> (санации)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(опубликован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 xml:space="preserve">на сайте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Государственной корпорации «Агентство по страхованию вкладов» (</w:t>
      </w:r>
      <w:hyperlink r:id="rId2">
        <w:r>
          <w:rPr>
            <w:rStyle w:val="Hyperlink"/>
            <w:rFonts w:eastAsia="TimesNewRomanPS-BoldMT" w:cs="Times New Roman" w:ascii="Liberation Serif" w:hAnsi="Liberation Serif"/>
            <w:b w:val="false"/>
            <w:bCs w:val="false"/>
            <w:iCs w:val="false"/>
            <w:sz w:val="24"/>
            <w:szCs w:val="24"/>
            <w:shd w:fill="FFFFFF" w:val="clear"/>
            <w:lang w:eastAsia="en-US"/>
          </w:rPr>
          <w:t>http://www.asv.org.ru</w:t>
        </w:r>
      </w:hyperlink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))».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7. Не иметь просроченную задолженность перед Обществом и компаниями Группы РусГидро.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8. Требования, установленные пунктами 2 – 4 настоящих Критериев, не распространяются на кредитные организации: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8.1. В отношении которых или в отношении лиц, под контролем либо значительным влиянием которых находятся кредитные организации,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8.2. Основной целью деятельности которых является реализация программ поддержки малого и среднего предпринимательства в соответствии Указом Президента Российской Федерации от 05.06.2015 № 287 «О мерах по дальнейшему развитию малого и среднего предпринимательства» и с Федеральным законом от 24.07.2007 № 209-ФЗ «О развитии малого и среднего предпринимательства в Российской Федерации».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8.3. Утвержденную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8.4. ВЭБ.РФ.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00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>8.5. Нерезидентов Российской Федерации.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9. 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определяемого по формуле: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 w:eastAsia="TimesNewRomanPS-BoldMT" w:cs="Times New Roman"/>
          <w:b w:val="false"/>
          <w:bCs w:val="false"/>
          <w:iCs w:val="false"/>
          <w:sz w:val="24"/>
          <w:szCs w:val="24"/>
          <w:shd w:fill="FFFFFF" w:val="clear"/>
          <w:lang w:eastAsia="en-US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LimAi = ri × СKi, где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LimAi - Лимит риска для i-ой кредитной организации</w:t>
      </w:r>
      <w:r>
        <w:rPr>
          <w:rStyle w:val="FootnoteReference"/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footnoteReference w:id="6"/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СKi - размер собственных средств (капитала) i-ой кредитной организации на 01 января текущего календарного года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trike w:val="false"/>
          <w:dstrike w:val="false"/>
          <w:sz w:val="24"/>
          <w:szCs w:val="24"/>
          <w:u w:val="none"/>
          <w:shd w:fill="FFFFFF" w:val="clear"/>
          <w:lang w:eastAsia="en-US"/>
        </w:rPr>
        <w:t xml:space="preserve"> 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>по данным отчетности (в соответствии с кодом формы по ОКУД 0409123 «Расчет собственных средств (капитала) («Базель III») либо кодом формы по ОКУД 0409808 «Отчет об уровне достаточности капитала для покрытия рисков (публикуемая форма)»), опубликованной в информационно-телекоммуникационной сети «Интернет» (www.cbr.ru) на официальных сайтах ЦБ РФ и / или кредитной организации либо представленной кредитной организацией Обществу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>ri - рейтинговый коэффициент</w:t>
      </w:r>
      <w:r>
        <w:rPr>
          <w:rStyle w:val="FootnoteReference"/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footnoteReference w:id="7"/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для i-ой кредитной организации, равный: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>0,075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rFonts w:eastAsia="TimesNewRomanPS-BoldMT" w:cs="Times New Roman" w:ascii="Liberation Serif" w:hAnsi="Liberation Serif"/>
          <w:b/>
          <w:bCs/>
          <w:iCs w:val="false"/>
          <w:sz w:val="24"/>
          <w:szCs w:val="24"/>
          <w:shd w:fill="FFFFFF" w:val="clear"/>
          <w:lang w:eastAsia="en-US"/>
        </w:rPr>
        <w:t>«АА-»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по классификации рейтингового агентства АКРА или не ниже уровня </w:t>
      </w:r>
      <w:r>
        <w:rPr>
          <w:rFonts w:eastAsia="TimesNewRomanPS-BoldMT" w:cs="Times New Roman" w:ascii="Liberation Serif" w:hAnsi="Liberation Serif"/>
          <w:b/>
          <w:bCs/>
          <w:iCs w:val="false"/>
          <w:sz w:val="24"/>
          <w:szCs w:val="24"/>
          <w:shd w:fill="FFFFFF" w:val="clear"/>
          <w:lang w:eastAsia="en-US"/>
        </w:rPr>
        <w:t>«ruАA-»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по классификации рейтингового агентства Эксперт РА;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00" w:val="clear"/>
          <w:lang w:eastAsia="en-US"/>
        </w:rPr>
        <w:t>0,05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rFonts w:eastAsia="TimesNewRomanPS-BoldMT" w:cs="Times New Roman" w:ascii="Liberation Serif" w:hAnsi="Liberation Serif"/>
          <w:b/>
          <w:bCs/>
          <w:iCs w:val="false"/>
          <w:sz w:val="24"/>
          <w:szCs w:val="24"/>
          <w:shd w:fill="FFFFFF" w:val="clear"/>
          <w:lang w:eastAsia="en-US"/>
        </w:rPr>
        <w:t>«А-»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по классификации рейтингового агентства АКРА или не ниже уровня </w:t>
      </w:r>
      <w:r>
        <w:rPr>
          <w:rFonts w:eastAsia="TimesNewRomanPS-BoldMT" w:cs="Times New Roman" w:ascii="Liberation Serif" w:hAnsi="Liberation Serif"/>
          <w:b/>
          <w:bCs/>
          <w:iCs w:val="false"/>
          <w:sz w:val="24"/>
          <w:szCs w:val="24"/>
          <w:shd w:fill="FFFFFF" w:val="clear"/>
          <w:lang w:eastAsia="en-US"/>
        </w:rPr>
        <w:t>«ruA-»</w:t>
      </w:r>
      <w:r>
        <w:rPr>
          <w:rFonts w:eastAsia="TimesNewRomanPS-BoldMT" w:cs="Times New Roman" w:ascii="Liberation Serif" w:hAnsi="Liberation Serif"/>
          <w:b w:val="false"/>
          <w:bCs w:val="false"/>
          <w:iCs w:val="false"/>
          <w:sz w:val="24"/>
          <w:szCs w:val="24"/>
          <w:shd w:fill="FFFFFF" w:val="clear"/>
          <w:lang w:eastAsia="en-US"/>
        </w:rPr>
        <w:t xml:space="preserve"> по классификации рейтингового агентства Эксперт РА;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sz w:val="24"/>
          <w:szCs w:val="24"/>
        </w:rPr>
      </w:pPr>
      <w:r>
        <w:rPr>
          <w:rFonts w:eastAsia="TimesNewRomanPS-BoldMT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FFFF00" w:val="clear"/>
          <w:lang w:eastAsia="en-US"/>
        </w:rPr>
        <w:t>0,025</w:t>
      </w:r>
      <w:r>
        <w:rPr>
          <w:rFonts w:eastAsia="TimesNewRomanPS-BoldMT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FFFFFF" w:val="clear"/>
          <w:lang w:eastAsia="en-US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rFonts w:eastAsia="TimesNewRomanPS-BoldMT" w:cs="Times New Roman" w:ascii="Liberation Serif" w:hAnsi="Liberation Serif"/>
          <w:b/>
          <w:bCs/>
          <w:i w:val="false"/>
          <w:iCs w:val="false"/>
          <w:sz w:val="24"/>
          <w:szCs w:val="24"/>
          <w:shd w:fill="FFFFFF" w:val="clear"/>
          <w:lang w:eastAsia="en-US"/>
        </w:rPr>
        <w:t>«BBВ»</w:t>
      </w:r>
      <w:r>
        <w:rPr>
          <w:rFonts w:eastAsia="TimesNewRomanPS-BoldMT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FFFFFF" w:val="clear"/>
          <w:lang w:eastAsia="en-US"/>
        </w:rPr>
        <w:t xml:space="preserve"> по классификации рейтингового агентства АКРА или не ниже уровня </w:t>
      </w:r>
      <w:r>
        <w:rPr>
          <w:rFonts w:eastAsia="TimesNewRomanPS-BoldMT" w:cs="Times New Roman" w:ascii="Liberation Serif" w:hAnsi="Liberation Serif"/>
          <w:b/>
          <w:bCs/>
          <w:i w:val="false"/>
          <w:iCs w:val="false"/>
          <w:sz w:val="24"/>
          <w:szCs w:val="24"/>
          <w:shd w:fill="FFFFFF" w:val="clear"/>
          <w:lang w:eastAsia="en-US"/>
        </w:rPr>
        <w:t>«ruBBВ»</w:t>
      </w:r>
      <w:r>
        <w:rPr>
          <w:rFonts w:eastAsia="TimesNewRomanPS-BoldMT" w:cs="Times New Roman" w:ascii="Liberation Serif" w:hAnsi="Liberation Serif"/>
          <w:b w:val="false"/>
          <w:bCs w:val="false"/>
          <w:i w:val="false"/>
          <w:iCs w:val="false"/>
          <w:sz w:val="24"/>
          <w:szCs w:val="24"/>
          <w:shd w:fill="FFFFFF" w:val="clear"/>
          <w:lang w:eastAsia="en-US"/>
        </w:rPr>
        <w:t xml:space="preserve"> по классификации рейтингового агентства Эксперт РА, а также находится в процессе финансового оздоровления (санации).</w:t>
      </w:r>
    </w:p>
    <w:p>
      <w:pPr>
        <w:pStyle w:val="Normal"/>
        <w:keepNext w:val="true"/>
        <w:keepLines/>
        <w:tabs>
          <w:tab w:val="clear" w:pos="708"/>
          <w:tab w:val="left" w:pos="3360" w:leader="none"/>
        </w:tabs>
        <w:spacing w:lineRule="auto" w:line="240"/>
        <w:jc w:val="center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</w:r>
    </w:p>
    <w:p>
      <w:pPr>
        <w:pStyle w:val="Normal"/>
        <w:keepNext w:val="true"/>
        <w:keepLines/>
        <w:tabs>
          <w:tab w:val="clear" w:pos="708"/>
          <w:tab w:val="left" w:pos="3360" w:leader="none"/>
        </w:tabs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Подписи Сторон:</w:t>
      </w:r>
    </w:p>
    <w:p>
      <w:pPr>
        <w:pStyle w:val="Normal"/>
        <w:keepNext w:val="true"/>
        <w:keepLines/>
        <w:tabs>
          <w:tab w:val="clear" w:pos="708"/>
          <w:tab w:val="left" w:pos="3360" w:leader="none"/>
        </w:tabs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tabs>
          <w:tab w:val="clear" w:pos="708"/>
          <w:tab w:val="left" w:pos="3360" w:leader="none"/>
        </w:tabs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ageBreakBefore w:val="false"/>
        <w:spacing w:lineRule="auto" w:line="240"/>
        <w:ind w:left="5103" w:hanging="0"/>
        <w:rPr/>
      </w:pPr>
      <w:r>
        <w:rPr/>
      </w:r>
    </w:p>
    <w:sectPr>
      <w:headerReference w:type="default" r:id="rId3"/>
      <w:footnotePr>
        <w:numFmt w:val="decimal"/>
      </w:footnotePr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spacing w:before="60" w:after="0"/>
        <w:jc w:val="both"/>
        <w:rPr/>
      </w:pPr>
      <w:r>
        <w:rPr>
          <w:rStyle w:val="Style6"/>
        </w:rPr>
        <w:footnoteRef/>
      </w:r>
      <w:r>
        <w:rPr/>
        <w:t xml:space="preserve"> </w:t>
      </w:r>
      <w:r>
        <w:rPr/>
        <w:t>Требования подлежат обязательному включению в состав документации о закупке и не распространяются на гарантов по независимым гарантиям, предоставляемым в обеспечение исполнения договоров, заключаемых по результатам конкурентной закупки с участием МСП, которые принимаются от МСП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shd w:fill="FFFF00" w:val="clear"/>
        </w:rPr>
        <w:t>, а также по независимым гарантиям, предоставляемым в обеспечение исполнения договоров, заключаемых по результатам конкурентной закупки в соответствии с Федеральным законом от 05.04.2013 No 44-ФЗ «О контрактной системе в сфере закупок товаров, работ, услуг для обеспечения государственных и муниципальных нужд».</w:t>
      </w:r>
    </w:p>
  </w:footnote>
  <w:footnote w:id="3">
    <w:p>
      <w:pPr>
        <w:pStyle w:val="FootnoteText"/>
        <w:widowControl w:val="false"/>
        <w:spacing w:before="0" w:after="0"/>
        <w:rPr/>
      </w:pPr>
      <w:r>
        <w:rPr>
          <w:rStyle w:val="Style6"/>
        </w:rPr>
        <w:footnoteRef/>
      </w:r>
      <w:r>
        <w:rPr/>
        <w:t xml:space="preserve"> </w:t>
      </w:r>
      <w:r>
        <w:rPr/>
        <w:t>Актуальный Перечень Банков-Гарантов Группы РусГидро размещен на официальном сайте Общества</w:t>
      </w:r>
    </w:p>
    <w:p>
      <w:pPr>
        <w:pStyle w:val="FootnoteText"/>
        <w:widowControl w:val="false"/>
        <w:rPr/>
      </w:pPr>
      <w:r>
        <w:rPr>
          <w:shd w:fill="FFFF00" w:val="clear"/>
        </w:rPr>
        <w:t>(</w:t>
      </w:r>
      <w:hyperlink r:id="rId1">
        <w:r>
          <w:rPr>
            <w:rStyle w:val="Hyperlink"/>
            <w:shd w:fill="FFFF00" w:val="clear"/>
          </w:rPr>
          <w:t>https://drsk.ru/investors/disclosure/dokumenty/vnutrennie-dokumenty-obshchestva/inye-dokumenty/</w:t>
        </w:r>
      </w:hyperlink>
      <w:r>
        <w:rPr>
          <w:shd w:fill="FFFF00" w:val="clear"/>
        </w:rPr>
        <w:t>).</w:t>
      </w:r>
    </w:p>
  </w:footnote>
  <w:footnote w:id="4">
    <w:p>
      <w:pPr>
        <w:pStyle w:val="FootnoteText"/>
        <w:widowControl w:val="false"/>
        <w:spacing w:before="0" w:after="0"/>
        <w:jc w:val="both"/>
        <w:rPr/>
      </w:pPr>
      <w:r>
        <w:rPr>
          <w:rStyle w:val="Style6"/>
        </w:rPr>
        <w:footnoteRef/>
      </w:r>
      <w:r>
        <w:rPr/>
        <w:t xml:space="preserve"> </w:t>
      </w:r>
      <w:r>
        <w:rPr/>
        <w:t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</w:p>
  </w:footnote>
  <w:footnote w:id="5">
    <w:p>
      <w:pPr>
        <w:pStyle w:val="FootnoteText"/>
        <w:widowControl w:val="false"/>
        <w:spacing w:before="0" w:after="0"/>
        <w:jc w:val="both"/>
        <w:rPr/>
      </w:pPr>
      <w:r>
        <w:rPr>
          <w:rStyle w:val="Style6"/>
        </w:rPr>
        <w:footnoteRef/>
      </w:r>
      <w:r>
        <w:rPr/>
        <w:t xml:space="preserve"> </w:t>
      </w:r>
      <w:r>
        <w:rPr/>
        <w:t>Данное требование не применяется в отношении небанковских кредитных организаций.</w:t>
      </w:r>
    </w:p>
  </w:footnote>
  <w:footnote w:id="6">
    <w:p>
      <w:pPr>
        <w:pStyle w:val="FootnoteText"/>
        <w:widowControl w:val="false"/>
        <w:spacing w:before="0" w:after="0"/>
        <w:jc w:val="both"/>
        <w:rPr/>
      </w:pPr>
      <w:r>
        <w:rPr>
          <w:rStyle w:val="Style6"/>
        </w:rPr>
        <w:footnoteRef/>
      </w:r>
      <w:r>
        <w:rPr/>
        <w:t xml:space="preserve"> </w:t>
      </w:r>
      <w:r>
        <w:rPr/>
        <w:t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сторону. Например, расчетное значение лимита - 5 440 млн. руб., лимит к установлению - 5 400 млн. руб.; расчетное значение лимита - 5 450 млн. руб., лимит к установлению - 5 500 млн. руб..</w:t>
      </w:r>
    </w:p>
  </w:footnote>
  <w:footnote w:id="7">
    <w:p>
      <w:pPr>
        <w:pStyle w:val="FootnoteText"/>
        <w:widowControl w:val="false"/>
        <w:spacing w:before="0" w:after="0"/>
        <w:jc w:val="both"/>
        <w:rPr/>
      </w:pPr>
      <w:r>
        <w:rPr>
          <w:rStyle w:val="Style6"/>
        </w:rPr>
        <w:footnoteRef/>
      </w:r>
      <w:r>
        <w:rPr/>
        <w:t xml:space="preserve"> </w:t>
      </w:r>
      <w:r>
        <w:rPr/>
        <w:t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asv.org.ru/" TargetMode="External"/><Relationship Id="rId3" Type="http://schemas.openxmlformats.org/officeDocument/2006/relationships/header" Target="head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s://drsk.ru/investors/disclosure/dokumenty/vnutrennie-dokumenty-obshchestva/inye-dokumenty/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Application>AlterOffice/3.4.0.9$Linux_X86_64 LibreOffice_project/b8daf9e823b1a5463a2f48435ddc2e8696e7d4fc</Application>
  <AppVersion>15.0000</AppVersion>
  <Pages>3</Pages>
  <Words>1090</Words>
  <Characters>7694</Characters>
  <CharactersWithSpaces>8760</CharactersWithSpaces>
  <Paragraphs>36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2026-07-29T08:43:58Z</dcterms:modified>
  <cp:revision>56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